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ПРАВИТЕЛЬСТВО РОССИЙСКОЙ ФЕДЕРАЦИИ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ПОСТАНОВЛЕНИЕ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от 18 сентября 2020 г. N 1482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О ПРИЗНАКАХ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НЕИСПОЛЬЗОВАНИЯ ЗЕМЕЛЬНЫХ УЧАСТКОВ ИЗ ЗЕМЕЛЬ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СЕЛЬСКОХОЗЯЙСТВЕННОГО НАЗНАЧЕНИЯ ПО ЦЕЛЕВОМУ НАЗНАЧЕНИЮ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ИЛИ ИСПОЛЬЗОВАНИЯ С НАРУШЕНИЕМ ЗАКОНОДАТЕЛЬСТВА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статьей 6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 Утвердить прилагаемые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признаки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Признать утратившим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постановление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Правительства Российской Федерации от 23 апреля 2012 г. N 369 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 (Собрание законодательства Российской Федерации, 2012, N 18, ст. 2230).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Председатель Правительства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М.МИШУСТИН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Утверждены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постановлением Правительства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 18 сентября 2020 г. N 1482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bookmarkStart w:id="0" w:name="Par29"/>
      <w:bookmarkEnd w:id="0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ПРИЗНАКИ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НЕИСПОЛЬЗОВАНИЯ ЗЕМЕЛЬНЫХ УЧАСТКОВ ИЗ ЗЕМЕЛЬ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СЕЛЬСКОХОЗЯЙСТВЕННОГО НАЗНАЧЕНИЯ ПО ЦЕЛЕВОМУ НАЗНАЧЕНИЮ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ИЛИ ИСПОЛЬЗОВАНИЯ С НАРУШЕНИЕМ ЗАКОНОДАТЕЛЬСТВА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Par35"/>
      <w:bookmarkEnd w:id="1"/>
      <w:r>
        <w:rPr>
          <w:rFonts w:ascii="Arial" w:hAnsi="Arial" w:cs="Arial"/>
          <w:sz w:val="20"/>
          <w:szCs w:val="20"/>
          <w:lang w:eastAsia="en-US"/>
        </w:rPr>
        <w:t>1. Признаками неиспользования земельных участков из земель сельскохозяйственного назначения по целевому назначению являются: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2" w:name="Par38"/>
      <w:bookmarkEnd w:id="2"/>
      <w:r>
        <w:rPr>
          <w:rFonts w:ascii="Arial" w:hAnsi="Arial" w:cs="Arial"/>
          <w:sz w:val="20"/>
          <w:szCs w:val="20"/>
          <w:lang w:eastAsia="en-US"/>
        </w:rPr>
        <w:t xml:space="preserve">наличие на 50 и более процентах площади земельного участка зарастания сорными растениями по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перечню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согласно приложению и (или) древесно-кустарниковой растительностью (за исключением пол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е-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и лесозащитных насаждений, плодовых и ягодных насаждений), и (или) 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и (или) распространение деградации земель;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наличие признаков, указанных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абзаце втором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пункта, на 20 и более процентах площади земельного участка, отнесенного в установленном порядке к особо ценным продуктивным сельскохозяйственным угодьям.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При этом признаки, указанные в настоящем пункте, считаются признаками неиспользования земельных участков из земель сельскохозяйственного назначения по целевому назначению, если одновременно с ними отсутствует ведение сельскохозяйственной деятельности на оставшейся площади земельного участка либо ведение такой деятельности менее чем на 25 процентах площади земельного участка: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3" w:name="Par41"/>
      <w:bookmarkEnd w:id="3"/>
      <w:r>
        <w:rPr>
          <w:rFonts w:ascii="Arial" w:hAnsi="Arial" w:cs="Arial"/>
          <w:sz w:val="20"/>
          <w:szCs w:val="20"/>
          <w:lang w:eastAsia="en-US"/>
        </w:rPr>
        <w:t>а) выращивание сельскохозяйственных культур и обработка почвы - на земельном участке, предназначенном для растениеводства (за исключением садоводства);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б) работы по закладке, выращиванию, уходу за многолетними плодовыми и ягодными культурами, виноградом и иными многолетними культурами и уборке их урожая - на земельном участке, предназначенном для садоводства или выращивания многолетних насаждений;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в) работы по возделыванию и уборке однолетних и многолетних трав (сенокошение, заготовка зеленых, сочных и грубых кормов), разведению и (или) выпасу сельскохозяйственных животных - на земельном участке, предназначенном для животноводства;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г) работы по разведению, содержанию и использованию пчел, размещению ульев, зимовника; пасечной постройки для обработки продукции пчеловодства, хранения сотовых рамок, пчеловодного инвентаря, иных объектов и оборудования, необходимого для пчеловодства и разведения иных полезных насекомых, а также работы по возделыванию медоносных (энтомофильных) культур, кустарников и деревьев, перечень которых определяется Министерством сельского хозяйства Российской Федерации, - на земельном участке, предназначенном для пчеловодства;</w:t>
      </w:r>
      <w:proofErr w:type="gramEnd"/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4" w:name="Par45"/>
      <w:bookmarkEnd w:id="4"/>
      <w:r>
        <w:rPr>
          <w:rFonts w:ascii="Arial" w:hAnsi="Arial" w:cs="Arial"/>
          <w:sz w:val="20"/>
          <w:szCs w:val="20"/>
          <w:lang w:eastAsia="en-US"/>
        </w:rPr>
        <w:t>д) работы по выращиванию подроста деревьев и кустарников, саженцев, сеянцев, используемых в сельском хозяйстве, а также иных сельскохозяйственных культур для получения рассады и семян, обработке почвы - на земельном участке, предназначенном для питомников;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е) работы, предусмотренные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подпунктами "а"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-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"д"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пункта, - на земельном участке, предназначенном для сельскохозяйственного производства или для научного обеспечения сельского хозяйства.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bookmarkStart w:id="5" w:name="Par47"/>
      <w:bookmarkEnd w:id="5"/>
      <w:r>
        <w:rPr>
          <w:rFonts w:ascii="Arial" w:hAnsi="Arial" w:cs="Arial"/>
          <w:sz w:val="20"/>
          <w:szCs w:val="20"/>
          <w:lang w:eastAsia="en-US"/>
        </w:rPr>
        <w:t>2. Признаками использования земельных участков из земель сельскохозяйственного назначения с нарушением законодательства Российской Федерации являются: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а) наличие на земельном участке постройки, имеющей признаки самовольной;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б)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в)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г) наличие на земельном участке, на котором осуществлена высадка сельскохозяйственных культур, сильной засоренности сорными растениями по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перечню</w:t>
        </w:r>
      </w:hyperlink>
      <w:r>
        <w:rPr>
          <w:rFonts w:ascii="Arial" w:hAnsi="Arial" w:cs="Arial"/>
          <w:sz w:val="20"/>
          <w:szCs w:val="20"/>
          <w:lang w:eastAsia="en-US"/>
        </w:rPr>
        <w:t>, предусмотренному приложением к настоящему документу: для малолетних сорняков на 1 м</w:t>
      </w:r>
      <w:proofErr w:type="gramStart"/>
      <w:r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свыше 250 штук; для многолетних, карантинных сорняков на 1 м</w:t>
      </w:r>
      <w:r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>
        <w:rPr>
          <w:rFonts w:ascii="Arial" w:hAnsi="Arial" w:cs="Arial"/>
          <w:sz w:val="20"/>
          <w:szCs w:val="20"/>
          <w:lang w:eastAsia="en-US"/>
        </w:rPr>
        <w:t xml:space="preserve"> свыше 8 штук, за исключением случаев, предусмотренных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пунктом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документа.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Примечания: 1. Для целей настоящего документа площадью земельного участка является площадь, содержащаяся в сведениях Единого государственного реестра недвижимости, либо при отсутствии в Едином государственном реестре недвижимости таких сведений - в правоустанавливающих и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правоудостоверяющих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документах на земельный участок, иных документах, подтверждающих площадь и границы такого земельного участка.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2. Признаки, указанные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пунктах 1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и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  <w:lang w:eastAsia="en-US"/>
          </w:rPr>
          <w:t>2</w:t>
        </w:r>
      </w:hyperlink>
      <w:r>
        <w:rPr>
          <w:rFonts w:ascii="Arial" w:hAnsi="Arial" w:cs="Arial"/>
          <w:sz w:val="20"/>
          <w:szCs w:val="20"/>
          <w:lang w:eastAsia="en-US"/>
        </w:rPr>
        <w:t xml:space="preserve"> настоящего документа, не учитываются, если они выявлены на площади частей земельных участков: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а) на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которых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расположены здания и сооружения, защитные лесные насаждения, водоемы и водотоки;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б) которые 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в) которые подвержены деградации, вызванной чрезвычайной ситуацией или чрезвычайным явлением;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г) в отношении которых проводятся работы по рекультивации или консервации земель в установленном порядке;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д) которые находятся под парами, то есть свободные от возделываемых сельскохозяйственных культур для повышения плодородия и накопления влаги в почве на срок не более 2 лет;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е) которые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bookmarkStart w:id="6" w:name="_GoBack"/>
      <w:bookmarkEnd w:id="6"/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Приложение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 признакам неиспользования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земельных участков из земель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сельскохозяйственного назначения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 целевому назначению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или использования с нарушением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законодательства 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bookmarkStart w:id="7" w:name="Par73"/>
      <w:bookmarkEnd w:id="7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ПЕРЕЧЕНЬ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СОРНЫХ РАСТЕНИЙ ДЛЯ УСТАНОВЛЕНИЯ ПРИЗНАКОВ НЕИСПОЛЬЗОВАНИЯ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ЗЕМЕЛЬНЫХ УЧАСТКОВ ИЗ ЗЕМЕЛЬ </w:t>
      </w:r>
      <w:proofErr w:type="gramStart"/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СЕЛЬСКОХОЗЯЙСТВЕННОГО</w:t>
      </w:r>
      <w:proofErr w:type="gramEnd"/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НАЗНАЧЕНИЯ ПО ЦЕЛЕВОМУ НАЗНАЧЕНИЮ ИЛИ ИСПОЛЬЗОВАНИЯ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С НАРУШЕНИЕМ ЗАКОНОДАТЕЛЬСТВА 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Многолетние сорные растения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Корневищевые - пырей ползучий, хвощ полевой,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колосняк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ветвистый (острец),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свинорой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пальчатый, сорго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алеппское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гумай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), сныть обыкновенная, лютик ползучий, борщевик Сосновского, тысячелистник обыкновенный, пижма обыкновенная, мята полевая, чина клубненосная, тростник южный.</w:t>
      </w:r>
      <w:proofErr w:type="gramEnd"/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Корнеотпрысковые - осот полевой, бодяк полевой, все виды молочая, горчак розовый, вьюнок полевой (березка), латуки - татарский и компасный.</w:t>
      </w:r>
      <w:proofErr w:type="gramEnd"/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Стержнекорневые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- одуванчик лекарственный, полынь обыкновенная.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Малолетние сорные растения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Яровые - овес пустой (овсюг), плевелы - расставленный, льняной и опьяняющий,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ежевник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петушье (куриное) просо, мышей - зеленый и сизый, мятлик однолетний, марь белая, солянки южная и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холмовая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курай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перекати-поле), щирицы - назад запрокинутая,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жминдовидная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и белая, звездчатка средняя (мокрица), горчица полевая, капуста полевая, редька дикая, конопля, гречиха татарская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кырлык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пикульники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- все виды,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гречишка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вьюнковая, горец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щавелелистный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 горец птичий, торица полевая, череда трехраздельная, ромашка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пахучая, дымянка лекарственная, мелколепестник канадский, липучки - пониклая и отклоненная, кривоцвет полевой, крестовник обыкновенный, желтушник левкойный,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жерушник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болотный, дурнишники - колючий и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зобовидный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канатник Теофраста, лебеда татарская, живокость полевая,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циклахена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дурнишниковая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, подмаренник цепкий, подсолнечник сорно-полевой, просо сорное, мак-самосейка, портулак огородный, якорцы наземные, золотарник канадский.</w:t>
      </w:r>
      <w:proofErr w:type="gramEnd"/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Зимующие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гулявник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высокий, ярутка полевая, пастушья сумка обыкновенная.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Озимые - костер ржаной и полевой, рыжик - мелкоплодный, метлица обыкновенная (метла), фиалка полевая.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sz w:val="20"/>
          <w:szCs w:val="20"/>
          <w:lang w:eastAsia="en-US"/>
        </w:rPr>
        <w:t>Двулетники - чертополохи разных видов, белена черная, донник - желтый и белый, ромашка непахучая, смолевка белая, яснотки - пурпурная и стеблеобъемлющая.</w:t>
      </w:r>
      <w:proofErr w:type="gramEnd"/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Сорные растения - паразиты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Заразиха ветвистая,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подсолнечниковая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и египетская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Карантинные сорные растения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Карантинные объекты, отсутствующие на территории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Бузинник пазушный (ива многолетняя)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Iva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axillaris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Pursh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Ипомея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плющевидная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Ipomoea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hederacea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L.)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Ипомея ямчатая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Ipomoea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lacunosa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L.)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>Паслен каролинский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Solanum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carolinense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L.)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Паслен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линейнолистный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Solanum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elaeagnifolium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Cav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Подсолнечник реснитчатый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Helianthus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ciliaris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DC.)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Стриги (все виды)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Striga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spp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Ценхрус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малоцветковый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Cenchrus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pauciflorus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Benth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Череда волосистая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Bidens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pilosa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L.)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Карантинные объекты, ограниченно распространенные</w:t>
      </w:r>
    </w:p>
    <w:p w:rsidR="00912D60" w:rsidRDefault="00912D60" w:rsidP="00912D60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на территории Российской Федерации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Амброзия многолетняя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Ambrosia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psilostachya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DC.)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Амброзия полыннолистная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Ambrosia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artemisiifolia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L.)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Амброзия трехраздельная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Ambrosia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trifida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L.)</w:t>
      </w:r>
    </w:p>
    <w:p w:rsidR="00912D60" w:rsidRP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eastAsia="en-US"/>
        </w:rPr>
        <w:t>Горчак</w:t>
      </w:r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ползучий</w:t>
      </w:r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 w:rsidRPr="00912D60">
        <w:rPr>
          <w:rFonts w:ascii="Arial" w:hAnsi="Arial" w:cs="Arial"/>
          <w:sz w:val="20"/>
          <w:szCs w:val="20"/>
          <w:lang w:val="en-US" w:eastAsia="en-US"/>
        </w:rPr>
        <w:t>Acroptilon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12D60">
        <w:rPr>
          <w:rFonts w:ascii="Arial" w:hAnsi="Arial" w:cs="Arial"/>
          <w:sz w:val="20"/>
          <w:szCs w:val="20"/>
          <w:lang w:val="en-US" w:eastAsia="en-US"/>
        </w:rPr>
        <w:t>repens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DC.)</w:t>
      </w:r>
    </w:p>
    <w:p w:rsidR="00912D60" w:rsidRP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Паслен</w:t>
      </w:r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колючий</w:t>
      </w:r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 w:rsidRPr="00912D60">
        <w:rPr>
          <w:rFonts w:ascii="Arial" w:hAnsi="Arial" w:cs="Arial"/>
          <w:sz w:val="20"/>
          <w:szCs w:val="20"/>
          <w:lang w:val="en-US" w:eastAsia="en-US"/>
        </w:rPr>
        <w:t>Solanum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12D60">
        <w:rPr>
          <w:rFonts w:ascii="Arial" w:hAnsi="Arial" w:cs="Arial"/>
          <w:sz w:val="20"/>
          <w:szCs w:val="20"/>
          <w:lang w:val="en-US" w:eastAsia="en-US"/>
        </w:rPr>
        <w:t>rostratum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Dun.)</w:t>
      </w:r>
    </w:p>
    <w:p w:rsidR="00912D60" w:rsidRP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Паслен</w:t>
      </w:r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трехцветковый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 w:rsidRPr="00912D60">
        <w:rPr>
          <w:rFonts w:ascii="Arial" w:hAnsi="Arial" w:cs="Arial"/>
          <w:sz w:val="20"/>
          <w:szCs w:val="20"/>
          <w:lang w:val="en-US" w:eastAsia="en-US"/>
        </w:rPr>
        <w:t>Solanum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912D60">
        <w:rPr>
          <w:rFonts w:ascii="Arial" w:hAnsi="Arial" w:cs="Arial"/>
          <w:sz w:val="20"/>
          <w:szCs w:val="20"/>
          <w:lang w:val="en-US" w:eastAsia="en-US"/>
        </w:rPr>
        <w:t>triflorum</w:t>
      </w:r>
      <w:proofErr w:type="spellEnd"/>
      <w:r w:rsidRPr="00912D60">
        <w:rPr>
          <w:rFonts w:ascii="Arial" w:hAnsi="Arial" w:cs="Arial"/>
          <w:sz w:val="20"/>
          <w:szCs w:val="20"/>
          <w:lang w:val="en-US" w:eastAsia="en-US"/>
        </w:rPr>
        <w:t xml:space="preserve"> Nutt.)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Повилики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Cuscuta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spp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.)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Прострел (подснежник, сон-трава,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Pulsatilla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Горицвет весенний (адонис весенний, стародубка,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Adonis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vernalis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Ломонос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княжик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сибирский,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Atragene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sibirica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sz w:val="20"/>
          <w:szCs w:val="20"/>
          <w:lang w:eastAsia="en-US"/>
        </w:rPr>
        <w:t>Клопогон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(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клоповник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Cimicifuga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Вех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>ядовитый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(цикута,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Cicuta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Болиголов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Conium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Вороний глаз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Paris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Волчеягодник (волчье лыко,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дафне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Daphne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Копытень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Asarum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Чернокорень (куриная слепота,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Cynoglossum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officinale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Чемерица (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Veratrum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>)</w:t>
      </w: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12D60" w:rsidRDefault="00912D60" w:rsidP="00912D60">
      <w:pPr>
        <w:pBdr>
          <w:top w:val="single" w:sz="6" w:space="0" w:color="auto"/>
        </w:pBdr>
        <w:suppressAutoHyphens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  <w:lang w:eastAsia="en-US"/>
        </w:rPr>
      </w:pPr>
    </w:p>
    <w:p w:rsidR="00C647D1" w:rsidRDefault="00C647D1"/>
    <w:sectPr w:rsidR="00C647D1" w:rsidSect="00AA4A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16"/>
    <w:rsid w:val="0027290B"/>
    <w:rsid w:val="00912D60"/>
    <w:rsid w:val="00C3436B"/>
    <w:rsid w:val="00C647D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0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0B"/>
    <w:rPr>
      <w:sz w:val="22"/>
      <w:szCs w:val="22"/>
    </w:rPr>
  </w:style>
  <w:style w:type="paragraph" w:styleId="a4">
    <w:name w:val="List Paragraph"/>
    <w:basedOn w:val="a"/>
    <w:uiPriority w:val="99"/>
    <w:qFormat/>
    <w:rsid w:val="0027290B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0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0B"/>
    <w:rPr>
      <w:sz w:val="22"/>
      <w:szCs w:val="22"/>
    </w:rPr>
  </w:style>
  <w:style w:type="paragraph" w:styleId="a4">
    <w:name w:val="List Paragraph"/>
    <w:basedOn w:val="a"/>
    <w:uiPriority w:val="99"/>
    <w:qFormat/>
    <w:rsid w:val="0027290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727F61188849C640AFF445AA10F041E82C30395549D1FD32532D89A5F2165D464FFA81E635F7209620F16D5VDGAK" TargetMode="External"/><Relationship Id="rId5" Type="http://schemas.openxmlformats.org/officeDocument/2006/relationships/hyperlink" Target="consultantplus://offline/ref=C2C727F61188849C640AFF445AA10F041C89CF0E90569D1FD32532D89A5F2165C664A7A41F6543740B775947938D1CD8CFC4102E39051B94V0G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2022-06-16T10:06:00Z</dcterms:created>
  <dcterms:modified xsi:type="dcterms:W3CDTF">2022-06-16T10:07:00Z</dcterms:modified>
</cp:coreProperties>
</file>